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F341E">
      <w:pPr>
        <w:ind w:left="426" w:right="-17"/>
        <w:jc w:val="center"/>
        <w:rPr>
          <w:rFonts w:ascii="Arial" w:hAnsi="Arial" w:cs="Arial"/>
          <w:b/>
        </w:rPr>
      </w:pPr>
      <w:bookmarkStart w:id="0" w:name="_Hlk142658039"/>
      <w:r>
        <w:rPr>
          <w:rFonts w:ascii="Arial" w:hAnsi="Arial" w:cs="Arial"/>
          <w:b/>
        </w:rPr>
        <w:t>ANEXO VII</w:t>
      </w:r>
    </w:p>
    <w:p w14:paraId="0AD3638C">
      <w:pPr>
        <w:ind w:left="426" w:right="-17"/>
        <w:jc w:val="center"/>
        <w:rPr>
          <w:rFonts w:ascii="Arial" w:hAnsi="Arial" w:cs="Arial"/>
          <w:b/>
        </w:rPr>
      </w:pPr>
    </w:p>
    <w:p w14:paraId="03EBE4E4">
      <w:pPr>
        <w:ind w:left="426" w:right="-17"/>
        <w:jc w:val="center"/>
        <w:rPr>
          <w:rFonts w:ascii="Arial" w:hAnsi="Arial" w:cs="Arial"/>
          <w:b/>
        </w:rPr>
      </w:pPr>
      <w:r>
        <w:rPr>
          <w:rFonts w:ascii="Arial" w:hAnsi="Arial" w:cs="Arial"/>
          <w:b/>
        </w:rPr>
        <w:t>MINUTA DE TERMO DE CONTRATO DE SERVIÇOS</w:t>
      </w:r>
      <w:bookmarkEnd w:id="0"/>
    </w:p>
    <w:p w14:paraId="3CCA9CDB">
      <w:pPr>
        <w:ind w:left="426" w:right="-17"/>
        <w:jc w:val="center"/>
        <w:rPr>
          <w:rFonts w:ascii="Arial" w:hAnsi="Arial" w:cs="Arial"/>
          <w:b/>
        </w:rPr>
      </w:pPr>
    </w:p>
    <w:p w14:paraId="0BF1DD55">
      <w:pPr>
        <w:ind w:left="4253" w:right="-17"/>
        <w:jc w:val="both"/>
        <w:rPr>
          <w:rFonts w:ascii="Arial" w:hAnsi="Arial" w:cs="Arial"/>
          <w:b/>
        </w:rPr>
      </w:pPr>
    </w:p>
    <w:p w14:paraId="256BA56F">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5652765E">
      <w:pPr>
        <w:spacing w:line="276" w:lineRule="auto"/>
        <w:ind w:left="5103" w:right="-17"/>
        <w:jc w:val="both"/>
        <w:rPr>
          <w:rFonts w:ascii="Arial" w:hAnsi="Arial" w:cs="Arial"/>
          <w:b/>
        </w:rPr>
      </w:pPr>
    </w:p>
    <w:bookmarkEnd w:id="1"/>
    <w:p w14:paraId="07FDD72E">
      <w:pPr>
        <w:pStyle w:val="13"/>
        <w:spacing w:line="276" w:lineRule="auto"/>
        <w:jc w:val="both"/>
        <w:rPr>
          <w:rFonts w:ascii="Arial" w:hAnsi="Arial" w:cs="Arial"/>
          <w:sz w:val="22"/>
          <w:szCs w:val="22"/>
          <w:highlight w:val="none"/>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12.075/2026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bookmarkStart w:id="17" w:name="_GoBack"/>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42</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 mediante as cláusulas e condições a seguir enunciadas.</w:t>
      </w:r>
    </w:p>
    <w:bookmarkEnd w:id="17"/>
    <w:p w14:paraId="594A753F">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F8365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rPr>
        <w:t>CONTRATAÇÃO DE</w:t>
      </w:r>
      <w:r>
        <w:rPr>
          <w:rFonts w:hint="default" w:ascii="Arial" w:hAnsi="Arial" w:cs="Arial"/>
          <w:b/>
          <w:bCs w:val="0"/>
          <w:iCs/>
          <w:lang w:val="pt-BR"/>
        </w:rPr>
        <w:t xml:space="preserve"> EMPRESA ESPECIALIZADA PARA A PRESTAÇÃO DE SERVIÇOS DE </w:t>
      </w:r>
      <w:bookmarkStart w:id="3" w:name="__DdeLink__6407_1806518491"/>
      <w:r>
        <w:rPr>
          <w:rFonts w:hint="default" w:ascii="Arial" w:hAnsi="Arial" w:cs="Arial"/>
          <w:b/>
          <w:bCs w:val="0"/>
          <w:iCs/>
          <w:lang w:val="pt-BR"/>
        </w:rPr>
        <w:t>BOMBEIRO CIVIL – BRIGADA DE INCÊNDIO E LOCAÇÃO DE EXTINTOR PARA EVENTOS</w:t>
      </w:r>
      <w:bookmarkEnd w:id="3"/>
      <w:r>
        <w:rPr>
          <w:rFonts w:hint="default" w:ascii="Arial" w:hAnsi="Arial" w:cs="Arial"/>
          <w:b/>
          <w:bCs w:val="0"/>
          <w:iCs/>
          <w:lang w:val="pt-BR"/>
        </w:rPr>
        <w:t xml:space="preserve">, para atender as necessidades da Secretaria de Turismo, Secretaria de Cultura e Secretaria de Esportes e Lazer, </w:t>
      </w:r>
      <w:r>
        <w:rPr>
          <w:rFonts w:ascii="Arial" w:hAnsi="Arial" w:cs="Arial"/>
          <w:bCs/>
          <w:iCs/>
        </w:rPr>
        <w:t>nas condições estabelecidas no Termo de Referência – Anexo I do edital.</w:t>
      </w:r>
    </w:p>
    <w:p w14:paraId="5C5777C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4363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587B27F">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15B11239">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14:paraId="7A558026">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6DAD5CA">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67D27155">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3D95D4EC">
            <w:pPr>
              <w:pStyle w:val="19"/>
              <w:ind w:left="0"/>
              <w:jc w:val="center"/>
              <w:rPr>
                <w:rFonts w:ascii="Arial" w:hAnsi="Arial" w:cs="Arial"/>
                <w:b/>
              </w:rPr>
            </w:pPr>
            <w:r>
              <w:rPr>
                <w:rFonts w:ascii="Arial" w:hAnsi="Arial" w:cs="Arial"/>
                <w:b/>
              </w:rPr>
              <w:t>VALOR</w:t>
            </w:r>
          </w:p>
        </w:tc>
      </w:tr>
      <w:tr w14:paraId="47EA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5AA3F4D8">
            <w:pPr>
              <w:rPr>
                <w:rFonts w:ascii="Arial" w:hAnsi="Arial" w:cs="Arial"/>
              </w:rPr>
            </w:pPr>
          </w:p>
        </w:tc>
        <w:tc>
          <w:tcPr>
            <w:tcW w:w="606" w:type="pct"/>
            <w:vMerge w:val="continue"/>
            <w:shd w:val="clear" w:color="auto" w:fill="D8D8D8"/>
          </w:tcPr>
          <w:p w14:paraId="23FCD396">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02AEFE7A">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0AF1017D">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5436875A">
            <w:pPr>
              <w:rPr>
                <w:rFonts w:ascii="Arial" w:hAnsi="Arial" w:cs="Arial"/>
              </w:rPr>
            </w:pPr>
          </w:p>
        </w:tc>
        <w:tc>
          <w:tcPr>
            <w:tcW w:w="839" w:type="pct"/>
            <w:shd w:val="clear" w:color="auto" w:fill="D8D8D8"/>
            <w:tcMar>
              <w:top w:w="0" w:type="dxa"/>
              <w:left w:w="108" w:type="dxa"/>
              <w:bottom w:w="0" w:type="dxa"/>
              <w:right w:w="108" w:type="dxa"/>
            </w:tcMar>
            <w:vAlign w:val="center"/>
          </w:tcPr>
          <w:p w14:paraId="6044F952">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3A7D2D1B">
            <w:pPr>
              <w:pStyle w:val="19"/>
              <w:ind w:left="0"/>
              <w:jc w:val="center"/>
              <w:rPr>
                <w:rFonts w:ascii="Arial" w:hAnsi="Arial" w:cs="Arial"/>
                <w:b/>
              </w:rPr>
            </w:pPr>
            <w:r>
              <w:rPr>
                <w:rFonts w:ascii="Arial" w:hAnsi="Arial" w:cs="Arial"/>
                <w:b/>
              </w:rPr>
              <w:t>TOTAL</w:t>
            </w:r>
          </w:p>
        </w:tc>
      </w:tr>
      <w:tr w14:paraId="2AF5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5E5D1A36">
            <w:pPr>
              <w:pStyle w:val="38"/>
              <w:jc w:val="center"/>
              <w:rPr>
                <w:rFonts w:ascii="Arial" w:hAnsi="Arial" w:cs="Arial"/>
                <w:b/>
              </w:rPr>
            </w:pPr>
            <w:r>
              <w:rPr>
                <w:rFonts w:ascii="Arial" w:hAnsi="Arial" w:cs="Arial"/>
                <w:b/>
              </w:rPr>
              <w:t>1</w:t>
            </w:r>
          </w:p>
        </w:tc>
        <w:tc>
          <w:tcPr>
            <w:tcW w:w="606" w:type="pct"/>
          </w:tcPr>
          <w:p w14:paraId="3239C5C1">
            <w:pPr>
              <w:pStyle w:val="38"/>
              <w:jc w:val="both"/>
              <w:rPr>
                <w:rFonts w:ascii="Arial" w:hAnsi="Arial" w:cs="Arial"/>
              </w:rPr>
            </w:pPr>
          </w:p>
        </w:tc>
        <w:tc>
          <w:tcPr>
            <w:tcW w:w="1328" w:type="pct"/>
            <w:tcMar>
              <w:top w:w="0" w:type="dxa"/>
              <w:left w:w="108" w:type="dxa"/>
              <w:bottom w:w="0" w:type="dxa"/>
              <w:right w:w="108" w:type="dxa"/>
            </w:tcMar>
            <w:vAlign w:val="center"/>
          </w:tcPr>
          <w:p w14:paraId="3B3D3D37">
            <w:pPr>
              <w:pStyle w:val="38"/>
              <w:jc w:val="both"/>
              <w:rPr>
                <w:rFonts w:ascii="Arial" w:hAnsi="Arial" w:cs="Arial"/>
              </w:rPr>
            </w:pPr>
          </w:p>
        </w:tc>
        <w:tc>
          <w:tcPr>
            <w:tcW w:w="534" w:type="pct"/>
            <w:tcMar>
              <w:top w:w="0" w:type="dxa"/>
              <w:left w:w="108" w:type="dxa"/>
              <w:bottom w:w="0" w:type="dxa"/>
              <w:right w:w="108" w:type="dxa"/>
            </w:tcMar>
            <w:vAlign w:val="center"/>
          </w:tcPr>
          <w:p w14:paraId="44B7555A">
            <w:pPr>
              <w:pStyle w:val="38"/>
              <w:jc w:val="center"/>
              <w:rPr>
                <w:rFonts w:ascii="Arial" w:hAnsi="Arial" w:cs="Arial"/>
              </w:rPr>
            </w:pPr>
          </w:p>
        </w:tc>
        <w:tc>
          <w:tcPr>
            <w:tcW w:w="583" w:type="pct"/>
            <w:tcMar>
              <w:top w:w="0" w:type="dxa"/>
              <w:left w:w="108" w:type="dxa"/>
              <w:bottom w:w="0" w:type="dxa"/>
              <w:right w:w="108" w:type="dxa"/>
            </w:tcMar>
            <w:vAlign w:val="center"/>
          </w:tcPr>
          <w:p w14:paraId="12B724D7">
            <w:pPr>
              <w:pStyle w:val="38"/>
              <w:jc w:val="center"/>
              <w:rPr>
                <w:rFonts w:ascii="Arial" w:hAnsi="Arial" w:cs="Arial"/>
                <w:b/>
              </w:rPr>
            </w:pPr>
          </w:p>
        </w:tc>
        <w:tc>
          <w:tcPr>
            <w:tcW w:w="839" w:type="pct"/>
            <w:tcMar>
              <w:top w:w="0" w:type="dxa"/>
              <w:left w:w="108" w:type="dxa"/>
              <w:bottom w:w="0" w:type="dxa"/>
              <w:right w:w="108" w:type="dxa"/>
            </w:tcMar>
            <w:vAlign w:val="center"/>
          </w:tcPr>
          <w:p w14:paraId="399FCEDF">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0BD72C6">
            <w:pPr>
              <w:pStyle w:val="38"/>
              <w:spacing w:after="0" w:line="240" w:lineRule="auto"/>
              <w:jc w:val="right"/>
              <w:rPr>
                <w:rFonts w:ascii="Arial" w:hAnsi="Arial" w:cs="Arial"/>
                <w:b/>
                <w:bCs/>
              </w:rPr>
            </w:pPr>
          </w:p>
        </w:tc>
      </w:tr>
      <w:tr w14:paraId="6511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31E7DD38">
            <w:pPr>
              <w:pStyle w:val="38"/>
              <w:jc w:val="center"/>
              <w:rPr>
                <w:rFonts w:ascii="Arial" w:hAnsi="Arial" w:cs="Arial"/>
                <w:b/>
              </w:rPr>
            </w:pPr>
            <w:r>
              <w:rPr>
                <w:rFonts w:ascii="Arial" w:hAnsi="Arial" w:cs="Arial"/>
                <w:b/>
              </w:rPr>
              <w:t>…</w:t>
            </w:r>
          </w:p>
        </w:tc>
        <w:tc>
          <w:tcPr>
            <w:tcW w:w="606" w:type="pct"/>
          </w:tcPr>
          <w:p w14:paraId="2C3228EA">
            <w:pPr>
              <w:pStyle w:val="38"/>
              <w:jc w:val="both"/>
              <w:rPr>
                <w:rFonts w:ascii="Arial" w:hAnsi="Arial" w:cs="Arial"/>
              </w:rPr>
            </w:pPr>
          </w:p>
        </w:tc>
        <w:tc>
          <w:tcPr>
            <w:tcW w:w="1328" w:type="pct"/>
            <w:tcMar>
              <w:top w:w="0" w:type="dxa"/>
              <w:left w:w="108" w:type="dxa"/>
              <w:bottom w:w="0" w:type="dxa"/>
              <w:right w:w="108" w:type="dxa"/>
            </w:tcMar>
            <w:vAlign w:val="center"/>
          </w:tcPr>
          <w:p w14:paraId="1254C087">
            <w:pPr>
              <w:pStyle w:val="38"/>
              <w:jc w:val="both"/>
              <w:rPr>
                <w:rFonts w:ascii="Arial" w:hAnsi="Arial" w:cs="Arial"/>
              </w:rPr>
            </w:pPr>
          </w:p>
        </w:tc>
        <w:tc>
          <w:tcPr>
            <w:tcW w:w="534" w:type="pct"/>
            <w:tcMar>
              <w:top w:w="0" w:type="dxa"/>
              <w:left w:w="108" w:type="dxa"/>
              <w:bottom w:w="0" w:type="dxa"/>
              <w:right w:w="108" w:type="dxa"/>
            </w:tcMar>
            <w:vAlign w:val="center"/>
          </w:tcPr>
          <w:p w14:paraId="03CD6761">
            <w:pPr>
              <w:pStyle w:val="38"/>
              <w:jc w:val="center"/>
              <w:rPr>
                <w:rFonts w:ascii="Arial" w:hAnsi="Arial" w:cs="Arial"/>
              </w:rPr>
            </w:pPr>
          </w:p>
        </w:tc>
        <w:tc>
          <w:tcPr>
            <w:tcW w:w="583" w:type="pct"/>
            <w:tcMar>
              <w:top w:w="0" w:type="dxa"/>
              <w:left w:w="108" w:type="dxa"/>
              <w:bottom w:w="0" w:type="dxa"/>
              <w:right w:w="108" w:type="dxa"/>
            </w:tcMar>
            <w:vAlign w:val="center"/>
          </w:tcPr>
          <w:p w14:paraId="4C5D272E">
            <w:pPr>
              <w:pStyle w:val="38"/>
              <w:jc w:val="center"/>
              <w:rPr>
                <w:rFonts w:ascii="Arial" w:hAnsi="Arial" w:cs="Arial"/>
                <w:b/>
              </w:rPr>
            </w:pPr>
          </w:p>
        </w:tc>
        <w:tc>
          <w:tcPr>
            <w:tcW w:w="839" w:type="pct"/>
            <w:tcMar>
              <w:top w:w="0" w:type="dxa"/>
              <w:left w:w="108" w:type="dxa"/>
              <w:bottom w:w="0" w:type="dxa"/>
              <w:right w:w="108" w:type="dxa"/>
            </w:tcMar>
            <w:vAlign w:val="center"/>
          </w:tcPr>
          <w:p w14:paraId="445780E7">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0475C392">
            <w:pPr>
              <w:pStyle w:val="38"/>
              <w:spacing w:after="0" w:line="240" w:lineRule="auto"/>
              <w:jc w:val="right"/>
              <w:rPr>
                <w:rFonts w:ascii="Arial" w:hAnsi="Arial" w:cs="Arial"/>
                <w:b/>
                <w:bCs/>
              </w:rPr>
            </w:pPr>
          </w:p>
        </w:tc>
      </w:tr>
    </w:tbl>
    <w:p w14:paraId="3D7017F7">
      <w:pPr>
        <w:pStyle w:val="19"/>
        <w:widowControl/>
        <w:tabs>
          <w:tab w:val="left" w:pos="426"/>
        </w:tabs>
        <w:autoSpaceDE/>
        <w:autoSpaceDN/>
        <w:spacing w:before="120" w:after="120" w:line="276" w:lineRule="auto"/>
        <w:ind w:left="0"/>
        <w:jc w:val="both"/>
        <w:rPr>
          <w:rFonts w:ascii="Arial" w:hAnsi="Arial" w:cs="Arial"/>
          <w:iCs/>
        </w:rPr>
      </w:pPr>
    </w:p>
    <w:p w14:paraId="6945320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7D85A67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4EC6012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19D9E3E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28D5673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0F7DBA84">
      <w:pPr>
        <w:pStyle w:val="19"/>
        <w:widowControl/>
        <w:tabs>
          <w:tab w:val="left" w:pos="426"/>
        </w:tabs>
        <w:autoSpaceDE/>
        <w:autoSpaceDN/>
        <w:spacing w:before="120" w:after="120" w:line="276" w:lineRule="auto"/>
        <w:ind w:left="862"/>
        <w:jc w:val="both"/>
        <w:rPr>
          <w:rFonts w:ascii="Arial" w:hAnsi="Arial" w:cs="Arial"/>
          <w:bCs/>
        </w:rPr>
      </w:pPr>
    </w:p>
    <w:p w14:paraId="055A462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55855351">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14:paraId="353E4E39">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53E6AB50">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Estar formalmente demonstrado no processo que a forma de prestação dos serviços tem natureza continuada;</w:t>
      </w:r>
    </w:p>
    <w:p w14:paraId="486EA562">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juntado relatório que discorra sobre a execução do contrato, com informações de que os serviços tenham sido prestados regularmente;  </w:t>
      </w:r>
    </w:p>
    <w:p w14:paraId="21172E8A">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juntada justificativa e motivo, por escrito, de que a Administração mantém interesse na realização do serviço;  </w:t>
      </w:r>
    </w:p>
    <w:p w14:paraId="6B623A78">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Haja manifestação expressa do contratado informando o interesse na prorrogação; </w:t>
      </w:r>
    </w:p>
    <w:p w14:paraId="4541429E">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Seja comprovado que o contratado mantém as condições iniciais de habilitação.</w:t>
      </w:r>
    </w:p>
    <w:p w14:paraId="592DA6C7">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14:paraId="3DEC12CF">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14:paraId="45AB5EC8">
      <w:pPr>
        <w:pStyle w:val="50"/>
        <w:numPr>
          <w:ilvl w:val="1"/>
          <w:numId w:val="3"/>
        </w:numPr>
        <w:rPr>
          <w:rFonts w:eastAsia="Verdana"/>
          <w:bCs/>
          <w:i w:val="0"/>
          <w:iCs/>
          <w:color w:val="auto"/>
          <w:sz w:val="22"/>
          <w:szCs w:val="22"/>
          <w:lang w:val="pt-PT" w:eastAsia="en-US"/>
        </w:rPr>
      </w:pPr>
      <w:r>
        <w:rPr>
          <w:rFonts w:eastAsia="Verdana"/>
          <w:bCs/>
          <w:i w:val="0"/>
          <w:iCs/>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14:paraId="7BD1B8F3">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14:paraId="019624EE">
      <w:pPr>
        <w:pStyle w:val="19"/>
        <w:widowControl/>
        <w:tabs>
          <w:tab w:val="left" w:pos="426"/>
        </w:tabs>
        <w:autoSpaceDE/>
        <w:autoSpaceDN/>
        <w:spacing w:before="120" w:after="120" w:line="276" w:lineRule="auto"/>
        <w:ind w:left="0"/>
        <w:jc w:val="both"/>
        <w:rPr>
          <w:rFonts w:ascii="Arial" w:hAnsi="Arial" w:cs="Arial"/>
          <w:bCs/>
          <w:iCs/>
          <w:color w:val="FF0000"/>
        </w:rPr>
      </w:pPr>
    </w:p>
    <w:p w14:paraId="1504B3F2">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69921F08">
      <w:pPr>
        <w:pStyle w:val="19"/>
        <w:widowControl/>
        <w:numPr>
          <w:ilvl w:val="1"/>
          <w:numId w:val="3"/>
        </w:numPr>
        <w:tabs>
          <w:tab w:val="left" w:pos="426"/>
        </w:tabs>
        <w:autoSpaceDE/>
        <w:autoSpaceDN/>
        <w:spacing w:before="120" w:after="120" w:line="276" w:lineRule="auto"/>
        <w:ind w:left="360" w:leftChars="0" w:hanging="360" w:firstLineChars="0"/>
        <w:jc w:val="both"/>
        <w:rPr>
          <w:rFonts w:hint="default" w:ascii="Arial" w:hAnsi="Arial" w:cs="Arial"/>
          <w:bCs/>
          <w:iCs/>
          <w:u w:val="single"/>
          <w:lang w:val="pt-BR"/>
        </w:rPr>
      </w:pPr>
      <w:r>
        <w:rPr>
          <w:rFonts w:hint="default" w:ascii="Arial" w:hAnsi="Arial" w:cs="Arial"/>
          <w:bCs/>
          <w:iCs/>
          <w:u w:val="single"/>
          <w:lang w:val="pt-BR"/>
        </w:rPr>
        <w:t>MODELO DE EXECUÇÃO DO OBJETO (arts. 6º, XXIII, alínea “e” e 40, §1º, inciso II, da Lei nº 14.133/2021).</w:t>
      </w:r>
    </w:p>
    <w:p w14:paraId="6332388E">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3.1.1 O prazo de execução dos serviços será de 1 (um) ano, contado do primeiro dia útil subsequente à data de divulgação do extrato de Ata de Registro de Preço no Diário Oficial do Município de Nova Friburgo.</w:t>
      </w:r>
    </w:p>
    <w:p w14:paraId="0E6BD72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3.1.2 A prestação do serviço acontecerá dentro do território de Nova Friburgo contemplando os 08 distritos e será informado no momento da solicitação do serviço.</w:t>
      </w:r>
    </w:p>
    <w:p w14:paraId="342FB31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3.1.3 As necessidades inerentes a cada item está descrita no item 4 do Termo de Referência.</w:t>
      </w:r>
    </w:p>
    <w:p w14:paraId="30E04F4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3.1.4 Do Recebimento:</w:t>
      </w:r>
    </w:p>
    <w:p w14:paraId="7A391CB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3.1.4.1 Os serviços serão recebidos definitivamente após a realização do evento para o qual foi solicitado, por servidor ou comissão designada pela autoridade competente, após a verificação da qualidade e quantidade do serviço e consequente aceitação mediante termo detalhado, obedecendo as seguintes diretrizes:</w:t>
      </w:r>
    </w:p>
    <w:p w14:paraId="5F9FC8D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3.1.4.2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nos eventos futuros;</w:t>
      </w:r>
    </w:p>
    <w:p w14:paraId="40ECF47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3.1.4.3 Emitir Termo Circunstanciado para efeito de recebimento definitivo dos serviços prestados, com base nos relatórios e documentações apresentadas; e</w:t>
      </w:r>
    </w:p>
    <w:p w14:paraId="7243D15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none"/>
          <w:lang w:val="pt-BR"/>
        </w:rPr>
      </w:pPr>
      <w:r>
        <w:rPr>
          <w:rFonts w:hint="default" w:ascii="Arial" w:hAnsi="Arial" w:cs="Arial"/>
          <w:bCs/>
          <w:iCs/>
          <w:u w:val="none"/>
          <w:lang w:val="pt-BR"/>
        </w:rPr>
        <w:t>3.1.4.4 Comunicar a empresa para que emita a Nota Fiscal ou Fatura, com o valor exato dimensionado pela fiscalização.</w:t>
      </w:r>
    </w:p>
    <w:p w14:paraId="79D181A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hint="default" w:ascii="Arial" w:hAnsi="Arial" w:cs="Arial"/>
          <w:bCs/>
          <w:iCs/>
          <w:u w:val="none"/>
          <w:lang w:val="pt-BR"/>
        </w:rPr>
        <w:t>3.1.4.5 O recebimento provisório ou definitivo não excluirá a responsabilidade civil pela solidez e pela segurança do serviço nem a responsabilidade ético-profissional pela perfeita execução do contrato.</w:t>
      </w:r>
    </w:p>
    <w:p w14:paraId="54F120A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14:paraId="2B730D5E">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bookmarkStart w:id="4" w:name="art115§1"/>
      <w:bookmarkEnd w:id="4"/>
      <w:bookmarkStart w:id="5" w:name="art115§5"/>
      <w:bookmarkEnd w:id="5"/>
    </w:p>
    <w:p w14:paraId="3120B04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14:paraId="68A660F8">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6"/>
      <w:bookmarkEnd w:id="6"/>
      <w:r>
        <w:rPr>
          <w:rFonts w:hint="default" w:ascii="Arial" w:hAnsi="Arial" w:cs="Arial"/>
          <w:bCs/>
          <w:iCs/>
          <w:lang w:val="pt-BR"/>
        </w:rPr>
        <w:t>3.2.3 A execução do contrato deverá ser acompanhada e fiscalizada pelo(s) fiscal(is) do contrato, ou pelos respectivos substitutos (Lei nº 14.133/2021, art. 117, caput).</w:t>
      </w:r>
    </w:p>
    <w:p w14:paraId="621C839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fiscal do contrato anotará em registro próprio todas as ocorrências relacionadas à execução do contrato, determinando o que for necessário para a regularização das faltas ou dos defeitos observados (Lei nº 14.133/2021, art. 117, §1º).</w:t>
      </w:r>
    </w:p>
    <w:p w14:paraId="75B25E89">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17§2"/>
      <w:bookmarkEnd w:id="7"/>
      <w:r>
        <w:rPr>
          <w:rFonts w:hint="default" w:ascii="Arial" w:hAnsi="Arial" w:cs="Arial"/>
          <w:bCs/>
          <w:iCs/>
          <w:lang w:val="pt-BR"/>
        </w:rPr>
        <w:t>3.2.5 O fiscal do contrato informará a seus superiores, em tempo hábil para a adoção das medidas convenientes, a situação que demandar decisão ou providência que ultrapasse sua competência (Lei nº 14.133/2021, art. 117, §2º).</w:t>
      </w:r>
    </w:p>
    <w:p w14:paraId="070988E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0E41C48">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0"/>
      <w:bookmarkEnd w:id="8"/>
      <w:r>
        <w:rPr>
          <w:rFonts w:hint="default" w:ascii="Arial" w:hAnsi="Arial" w:cs="Arial"/>
          <w:bCs/>
          <w:iCs/>
          <w:lang w:val="pt-BR"/>
        </w:rPr>
        <w:t>3.2.7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7692CCC">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
      <w:bookmarkEnd w:id="9"/>
      <w:r>
        <w:rPr>
          <w:rFonts w:hint="default" w:ascii="Arial" w:hAnsi="Arial" w:cs="Arial"/>
          <w:bCs/>
          <w:iCs/>
          <w:lang w:val="pt-BR"/>
        </w:rPr>
        <w:t>3.2.8 Somente o contratado será responsável pelos encargos trabalhistas, previdenciários, fiscais e comerciais resultantes da execução do contrato (Lei nº 14.133/2021, art. 121, caput).</w:t>
      </w:r>
    </w:p>
    <w:p w14:paraId="4BE9AFE8">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1§1"/>
      <w:bookmarkEnd w:id="10"/>
      <w:r>
        <w:rPr>
          <w:rFonts w:hint="default" w:ascii="Arial" w:hAnsi="Arial" w:cs="Arial"/>
          <w:bCs/>
          <w:iCs/>
          <w:lang w:val="pt-BR"/>
        </w:rPr>
        <w:t>3.2.9 A inadimplência do contratado em relação aos encargos trabalhistas, fiscais e comerciais não transferirá à Administração a responsabilidade pelo seu pagamento e não poderá onerar o objeto do contrato (Lei nº 14.133/2021, art. 121, §1º).</w:t>
      </w:r>
    </w:p>
    <w:p w14:paraId="5BA1BD95">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1" w:name="art122"/>
      <w:bookmarkEnd w:id="11"/>
      <w:bookmarkStart w:id="12" w:name="art122§3"/>
      <w:bookmarkEnd w:id="12"/>
      <w:bookmarkStart w:id="13" w:name="art123"/>
      <w:bookmarkEnd w:id="13"/>
      <w:bookmarkStart w:id="14" w:name="art122§1"/>
      <w:bookmarkEnd w:id="14"/>
      <w:bookmarkStart w:id="15" w:name="art122§2"/>
      <w:bookmarkEnd w:id="15"/>
      <w:r>
        <w:rPr>
          <w:rFonts w:hint="default" w:ascii="Arial" w:hAnsi="Arial" w:cs="Arial"/>
          <w:bCs/>
          <w:iCs/>
          <w:lang w:val="pt-BR"/>
        </w:rPr>
        <w:t>3.2.10 As comunicações entre o órgão ou entidade e a contratada devem ser realizadas por escrito sempre que o ato exigir tal formalidade, admitindo-se, excepcionalmente, o uso de mensagem eletrônica para esse fim.</w:t>
      </w:r>
    </w:p>
    <w:p w14:paraId="31E8AD3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O órgão ou entidade poderá convocar representante da empresa para adoção de providências que devam ser cumpridas de imediato.</w:t>
      </w:r>
    </w:p>
    <w:p w14:paraId="7BF3945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58A9A6B8">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3.2.13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5DE6359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3.2.14 Para o acompanhamento, gestão e fiscalização da execução do presente contrato, serão designados em momento posterior, antes da execução do objeto, agentes públicos gestor/gestor substituto e fiscal/ fiscal substituto.</w:t>
      </w:r>
    </w:p>
    <w:p w14:paraId="22DD4FA3">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3.2.15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421DD095">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3.2.16 O(s) fiscal(is) designado pela Contratante deverá ter a experiência necessária para o acompanhamento e controle da execução dos serviços e do contrato;</w:t>
      </w:r>
    </w:p>
    <w:p w14:paraId="6705D963">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3.2.17 A verificação da adequação da prestação do serviço deverá ser realizada com base nos critérios previstos no Termo de Referência;</w:t>
      </w:r>
    </w:p>
    <w:p w14:paraId="44623E37">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3.2.18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7F0EEA48">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7B8BF54A">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AE0F29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AD9D14E">
      <w:pPr>
        <w:pStyle w:val="19"/>
        <w:widowControl/>
        <w:tabs>
          <w:tab w:val="left" w:pos="426"/>
        </w:tabs>
        <w:autoSpaceDE/>
        <w:autoSpaceDN/>
        <w:spacing w:before="120" w:after="120" w:line="276" w:lineRule="auto"/>
        <w:ind w:left="0"/>
        <w:jc w:val="both"/>
        <w:rPr>
          <w:rFonts w:ascii="Arial" w:hAnsi="Arial" w:cs="Arial"/>
          <w:bCs/>
          <w:i/>
          <w:iCs/>
          <w:color w:val="FF0000"/>
        </w:rPr>
      </w:pPr>
    </w:p>
    <w:p w14:paraId="4FA603E0">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0526FA1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01D954A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524B00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255F882B">
      <w:pPr>
        <w:pStyle w:val="19"/>
        <w:widowControl/>
        <w:tabs>
          <w:tab w:val="left" w:pos="426"/>
        </w:tabs>
        <w:autoSpaceDE/>
        <w:autoSpaceDN/>
        <w:spacing w:before="120" w:after="120" w:line="276" w:lineRule="auto"/>
        <w:ind w:left="0"/>
        <w:jc w:val="both"/>
        <w:rPr>
          <w:rFonts w:ascii="Arial" w:hAnsi="Arial" w:cs="Arial"/>
          <w:bCs/>
          <w:iCs/>
          <w:color w:val="FF0000"/>
        </w:rPr>
      </w:pPr>
    </w:p>
    <w:p w14:paraId="175D84A1">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7DC2503">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Município de Nova Friburgo, CNPJ: 28.606.630/0001-23, ENDEREÇO: Avenida Alberto Braune, 225 – Centro – Nova Friburgo/RJ – Cep:28613-001.</w:t>
      </w:r>
    </w:p>
    <w:p w14:paraId="6149A1C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14:paraId="01B1F0D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de Fazenda, a partir do cumprimento das obrigações elencadas no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14:paraId="5EB0983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14:paraId="75FA596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14:paraId="0427520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14:paraId="61BE2B29">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6.3.2 A Nota Fiscal deverá conter a identificação do Banco, número da Agência e da Conta Corrente, para que possibilite o CONTRATANTE efetuar o pagamento do valor devido; </w:t>
      </w:r>
    </w:p>
    <w:p w14:paraId="4B2FF95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14:paraId="74E6414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0B7896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2593F576">
      <w:pPr>
        <w:pStyle w:val="19"/>
        <w:tabs>
          <w:tab w:val="left" w:pos="284"/>
        </w:tabs>
        <w:spacing w:line="276" w:lineRule="auto"/>
        <w:ind w:left="0"/>
        <w:jc w:val="both"/>
        <w:rPr>
          <w:rFonts w:hint="default" w:ascii="Arial" w:hAnsi="Arial" w:cs="Arial" w:eastAsiaTheme="majorEastAsia"/>
          <w:b w:val="0"/>
          <w:bCs w:val="0"/>
          <w:lang w:val="en-US" w:eastAsia="pt-BR"/>
        </w:rPr>
      </w:pPr>
    </w:p>
    <w:p w14:paraId="1F0215C0">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7D585AE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607945C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6D014B6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80459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DAEE7F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3BA18E9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038F4F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00F1BC0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09499D42">
      <w:pPr>
        <w:widowControl/>
        <w:tabs>
          <w:tab w:val="left" w:pos="426"/>
        </w:tabs>
        <w:autoSpaceDE/>
        <w:autoSpaceDN/>
        <w:spacing w:before="120" w:after="120" w:line="276" w:lineRule="auto"/>
        <w:jc w:val="both"/>
        <w:rPr>
          <w:rFonts w:ascii="Arial" w:hAnsi="Arial" w:cs="Arial"/>
          <w:bCs/>
          <w:i/>
          <w:color w:val="FF0000"/>
        </w:rPr>
      </w:pPr>
    </w:p>
    <w:p w14:paraId="53B0445C">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59B09B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2927D7D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7AF056E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36AFCA3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0D4F95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C1636C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3E8974A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0924E48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2D6A474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0D84FE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0EFBB7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3A728E6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55AA6A2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E746B4D">
      <w:pPr>
        <w:pStyle w:val="19"/>
        <w:widowControl/>
        <w:tabs>
          <w:tab w:val="left" w:pos="426"/>
        </w:tabs>
        <w:autoSpaceDE/>
        <w:autoSpaceDN/>
        <w:spacing w:before="120" w:after="120" w:line="276" w:lineRule="auto"/>
        <w:ind w:left="862"/>
        <w:jc w:val="both"/>
        <w:rPr>
          <w:rFonts w:ascii="Arial" w:hAnsi="Arial" w:cs="Arial"/>
          <w:bCs/>
          <w:iCs/>
          <w:lang w:val="pt-BR"/>
        </w:rPr>
      </w:pPr>
    </w:p>
    <w:p w14:paraId="732EC5F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64B2017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55E410D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38590F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7827461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56340BC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65B08C2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E850DF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124FDC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9F249B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4725EF6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D7C65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0A751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6EAFFCE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341663C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6032BB4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0CD9773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7B261EF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50E5D6E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1BE55CA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14:paraId="026CCEB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5117B96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7E2580F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62673E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BF9905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2EBE77D4">
      <w:pPr>
        <w:pStyle w:val="19"/>
        <w:widowControl/>
        <w:numPr>
          <w:ilvl w:val="0"/>
          <w:numId w:val="0"/>
        </w:numPr>
        <w:tabs>
          <w:tab w:val="left" w:pos="426"/>
        </w:tabs>
        <w:autoSpaceDE/>
        <w:autoSpaceDN/>
        <w:spacing w:before="120" w:after="120" w:line="276" w:lineRule="auto"/>
        <w:ind w:left="142" w:leftChars="0"/>
        <w:jc w:val="both"/>
        <w:rPr>
          <w:rFonts w:ascii="Arial" w:hAnsi="Arial" w:cs="Arial"/>
          <w:bCs/>
          <w:iCs/>
          <w:lang w:val="pt-BR"/>
        </w:rPr>
      </w:pPr>
    </w:p>
    <w:p w14:paraId="08C35F80">
      <w:pPr>
        <w:pStyle w:val="19"/>
        <w:numPr>
          <w:ilvl w:val="0"/>
          <w:numId w:val="3"/>
        </w:numPr>
        <w:tabs>
          <w:tab w:val="left" w:pos="284"/>
        </w:tabs>
        <w:spacing w:line="276" w:lineRule="auto"/>
        <w:ind w:left="0" w:firstLine="0"/>
        <w:rPr>
          <w:rFonts w:ascii="Arial" w:hAnsi="Arial" w:cs="Arial" w:eastAsiaTheme="majorEastAsia"/>
          <w:b/>
          <w:bCs/>
          <w:highlight w:val="yellow"/>
          <w:lang w:eastAsia="pt-BR"/>
        </w:rPr>
      </w:pPr>
      <w:r>
        <w:rPr>
          <w:rFonts w:ascii="Arial" w:hAnsi="Arial" w:cs="Arial" w:eastAsiaTheme="majorEastAsia"/>
          <w:b/>
          <w:bCs/>
          <w:lang w:val="pt-BR" w:eastAsia="pt-BR"/>
        </w:rPr>
        <w:t xml:space="preserve"> </w:t>
      </w:r>
      <w:r>
        <w:rPr>
          <w:rFonts w:ascii="Arial" w:hAnsi="Arial" w:cs="Arial" w:eastAsiaTheme="majorEastAsia"/>
          <w:b/>
          <w:bCs/>
          <w:lang w:eastAsia="pt-BR"/>
        </w:rPr>
        <w:t>CLÁUSULA DÉCIMA- OBRIGAÇÕES PERTINENTES À LGPD</w:t>
      </w:r>
    </w:p>
    <w:p w14:paraId="0F9736F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As partes deverão cumprir a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Lei nº 13.709, de 14 de agosto de 2018 (LGPD)</w:t>
      </w:r>
      <w:r>
        <w:rPr>
          <w:rFonts w:ascii="Arial" w:hAnsi="Arial" w:cs="Arial"/>
          <w:bCs/>
          <w:iCs/>
          <w:color w:val="auto"/>
          <w:lang w:val="pt-BR"/>
        </w:rPr>
        <w:fldChar w:fldCharType="end"/>
      </w:r>
      <w:r>
        <w:rPr>
          <w:rFonts w:ascii="Arial" w:hAnsi="Arial" w:cs="Arial"/>
          <w:bCs/>
          <w:iCs/>
          <w:color w:val="auto"/>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5FDE92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dados obtidos somente poderão ser utilizados para as finalidades que justificaram seu acesso e de acordo com a boa-fé e com os princípios do </w:t>
      </w:r>
      <w:r>
        <w:rPr>
          <w:color w:val="auto"/>
        </w:rPr>
        <w:fldChar w:fldCharType="begin"/>
      </w:r>
      <w:r>
        <w:rPr>
          <w:color w:val="auto"/>
        </w:rPr>
        <w:instrText xml:space="preserve"> HYPERLINK "https://www.planalto.gov.br/ccivil_03/_ato2015-2018/2018/lei/l13709.htm" \l "art6" </w:instrText>
      </w:r>
      <w:r>
        <w:rPr>
          <w:color w:val="auto"/>
        </w:rPr>
        <w:fldChar w:fldCharType="separate"/>
      </w:r>
      <w:r>
        <w:rPr>
          <w:rFonts w:ascii="Arial" w:hAnsi="Arial" w:cs="Arial"/>
          <w:bCs/>
          <w:iCs/>
          <w:color w:val="auto"/>
          <w:lang w:val="pt-BR"/>
        </w:rPr>
        <w:t>art. 6º da LGPD</w:t>
      </w:r>
      <w:r>
        <w:rPr>
          <w:rFonts w:ascii="Arial" w:hAnsi="Arial" w:cs="Arial"/>
          <w:bCs/>
          <w:iCs/>
          <w:color w:val="auto"/>
          <w:lang w:val="pt-BR"/>
        </w:rPr>
        <w:fldChar w:fldCharType="end"/>
      </w:r>
      <w:r>
        <w:rPr>
          <w:rFonts w:ascii="Arial" w:hAnsi="Arial" w:cs="Arial"/>
          <w:bCs/>
          <w:iCs/>
          <w:color w:val="auto"/>
          <w:lang w:val="pt-BR"/>
        </w:rPr>
        <w:t xml:space="preserve">. </w:t>
      </w:r>
    </w:p>
    <w:p w14:paraId="2FAD0AD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É vedado o compartilhamento com terceiros dos dados obtidos fora das hipóteses permitidas em Lei.</w:t>
      </w:r>
    </w:p>
    <w:p w14:paraId="13CFBF3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 Administração deverá ser informada no prazo de 5 (cinco) dias úteis sobre todos os contratos de suboperação firmados ou que venham a ser celebrados pelo Contratado. </w:t>
      </w:r>
    </w:p>
    <w:p w14:paraId="740AD96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Terminado o tratamento dos dados nos termos do </w:t>
      </w:r>
      <w:r>
        <w:rPr>
          <w:color w:val="auto"/>
        </w:rPr>
        <w:fldChar w:fldCharType="begin"/>
      </w:r>
      <w:r>
        <w:rPr>
          <w:color w:val="auto"/>
        </w:rPr>
        <w:instrText xml:space="preserve"> HYPERLINK "https://www.planalto.gov.br/ccivil_03/_ato2015-2018/2018/lei/l13709.htm" \l "art15" </w:instrText>
      </w:r>
      <w:r>
        <w:rPr>
          <w:color w:val="auto"/>
        </w:rPr>
        <w:fldChar w:fldCharType="separate"/>
      </w:r>
      <w:r>
        <w:rPr>
          <w:rFonts w:ascii="Arial" w:hAnsi="Arial" w:cs="Arial"/>
          <w:bCs/>
          <w:iCs/>
          <w:color w:val="auto"/>
          <w:lang w:val="pt-BR"/>
        </w:rPr>
        <w:t>art. 15 da LGPD</w:t>
      </w:r>
      <w:r>
        <w:rPr>
          <w:rFonts w:ascii="Arial" w:hAnsi="Arial" w:cs="Arial"/>
          <w:bCs/>
          <w:iCs/>
          <w:color w:val="auto"/>
          <w:lang w:val="pt-BR"/>
        </w:rPr>
        <w:fldChar w:fldCharType="end"/>
      </w:r>
      <w:r>
        <w:rPr>
          <w:rFonts w:ascii="Arial" w:hAnsi="Arial" w:cs="Arial"/>
          <w:bCs/>
          <w:iCs/>
          <w:color w:val="auto"/>
          <w:lang w:val="pt-BR"/>
        </w:rPr>
        <w:t xml:space="preserve">, é dever do contratado eliminá-los, com exceção das hipóteses do </w:t>
      </w:r>
      <w:r>
        <w:rPr>
          <w:color w:val="auto"/>
        </w:rPr>
        <w:fldChar w:fldCharType="begin"/>
      </w:r>
      <w:r>
        <w:rPr>
          <w:color w:val="auto"/>
        </w:rPr>
        <w:instrText xml:space="preserve"> HYPERLINK "https://www.planalto.gov.br/ccivil_03/_ato2015-2018/2018/lei/l13709.htm" \l "art16" </w:instrText>
      </w:r>
      <w:r>
        <w:rPr>
          <w:color w:val="auto"/>
        </w:rPr>
        <w:fldChar w:fldCharType="separate"/>
      </w:r>
      <w:r>
        <w:rPr>
          <w:rFonts w:ascii="Arial" w:hAnsi="Arial" w:cs="Arial"/>
          <w:bCs/>
          <w:iCs/>
          <w:color w:val="auto"/>
          <w:lang w:val="pt-BR"/>
        </w:rPr>
        <w:t>art. 16 da LGPD</w:t>
      </w:r>
      <w:r>
        <w:rPr>
          <w:rFonts w:ascii="Arial" w:hAnsi="Arial" w:cs="Arial"/>
          <w:bCs/>
          <w:iCs/>
          <w:color w:val="auto"/>
          <w:lang w:val="pt-BR"/>
        </w:rPr>
        <w:fldChar w:fldCharType="end"/>
      </w:r>
      <w:r>
        <w:rPr>
          <w:rFonts w:ascii="Arial" w:hAnsi="Arial" w:cs="Arial"/>
          <w:bCs/>
          <w:iCs/>
          <w:color w:val="auto"/>
          <w:lang w:val="pt-BR"/>
        </w:rPr>
        <w:t xml:space="preserve">, incluindo aquelas em que houver necessidade de guarda de documentação para fins de comprovação do cumprimento de obrigações legais ou contratuais e somente enquanto não prescritas essas obrigações. </w:t>
      </w:r>
    </w:p>
    <w:p w14:paraId="437CDD4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É dever do contratado orientar e treinar seus empregados sobre os deveres, requisitos e responsabilidades decorrentes da LGPD. </w:t>
      </w:r>
    </w:p>
    <w:p w14:paraId="1379094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Contratado deverá exigir de suboperadores e subcontratados o cumprimento dos deveres da presente cláusula, permanecendo integralmente responsável por garantir sua observância.</w:t>
      </w:r>
    </w:p>
    <w:p w14:paraId="1FC8307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Contratante poderá realizar diligência para aferir o cumprimento dessa cláusula, devendo o Contratado atender prontamente eventuais pedidos de comprovação formulados. </w:t>
      </w:r>
    </w:p>
    <w:p w14:paraId="1987312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Contratado deverá prestar, no prazo fixado pelo Contratante, prorrogável justificadamente, quaisquer informações acerca dos dados pessoais para cumprimento da LGPD, inclusive quanto a eventual descarte realizado. </w:t>
      </w:r>
    </w:p>
    <w:p w14:paraId="3ECC02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Bancos de dados formados a partir de contratos administrativos, notadamente aqueles que se proponham a armazenar dados pessoais, devem ser mantidos em ambiente virtual controlado, com registro individual rastreável de tratamentos realizados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LGPD, art. 37</w:t>
      </w:r>
      <w:r>
        <w:rPr>
          <w:rFonts w:ascii="Arial" w:hAnsi="Arial" w:cs="Arial"/>
          <w:bCs/>
          <w:iCs/>
          <w:color w:val="auto"/>
          <w:lang w:val="pt-BR"/>
        </w:rPr>
        <w:fldChar w:fldCharType="end"/>
      </w:r>
      <w:r>
        <w:rPr>
          <w:rFonts w:ascii="Arial" w:hAnsi="Arial" w:cs="Arial"/>
          <w:bCs/>
          <w:iCs/>
          <w:color w:val="auto"/>
          <w:lang w:val="pt-BR"/>
        </w:rPr>
        <w:t>), com cada acesso, data, horário e registro da finalidade, para efeito de responsabilização, em caso de eventuais omissões, desvios ou abusos.</w:t>
      </w:r>
    </w:p>
    <w:p w14:paraId="16AACF2C">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color w:val="auto"/>
          <w:lang w:val="pt-BR"/>
        </w:rPr>
      </w:pPr>
      <w:r>
        <w:rPr>
          <w:rFonts w:ascii="Arial" w:hAnsi="Arial" w:cs="Arial"/>
          <w:bCs/>
          <w:iCs/>
          <w:color w:val="auto"/>
          <w:lang w:val="pt-BR"/>
        </w:rPr>
        <w:t>Os referidos bancos de dados devem ser desenvolvidos em formato interoperável, a fim de garantir a reutilização desses dados pela Administração nas hipóteses previstas na LGPD.</w:t>
      </w:r>
    </w:p>
    <w:p w14:paraId="2EA9EE2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contrato está sujeito a ser alterado nos procedimentos pertinentes ao tratamento de dados pessoais, quando indicado pela autoridade competente, em especial a ANPD por meio de opiniões técnicas ou recomendações, editadas na forma da LGPD.</w:t>
      </w:r>
    </w:p>
    <w:p w14:paraId="79F64E1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contratos e convênios de que trata o </w:t>
      </w:r>
      <w:r>
        <w:rPr>
          <w:color w:val="auto"/>
        </w:rPr>
        <w:fldChar w:fldCharType="begin"/>
      </w:r>
      <w:r>
        <w:rPr>
          <w:color w:val="auto"/>
        </w:rPr>
        <w:instrText xml:space="preserve"> HYPERLINK "https://www.planalto.gov.br/ccivil_03/_ato2015-2018/2018/lei/l13709.htm" \l "art26§1" </w:instrText>
      </w:r>
      <w:r>
        <w:rPr>
          <w:color w:val="auto"/>
        </w:rPr>
        <w:fldChar w:fldCharType="separate"/>
      </w:r>
      <w:r>
        <w:rPr>
          <w:rFonts w:ascii="Arial" w:hAnsi="Arial" w:cs="Arial"/>
          <w:bCs/>
          <w:iCs/>
          <w:color w:val="auto"/>
          <w:lang w:val="pt-BR"/>
        </w:rPr>
        <w:t>§ 1º do art. 26 da LGPD</w:t>
      </w:r>
      <w:r>
        <w:rPr>
          <w:rFonts w:ascii="Arial" w:hAnsi="Arial" w:cs="Arial"/>
          <w:bCs/>
          <w:iCs/>
          <w:color w:val="auto"/>
          <w:lang w:val="pt-BR"/>
        </w:rPr>
        <w:fldChar w:fldCharType="end"/>
      </w:r>
      <w:r>
        <w:rPr>
          <w:rFonts w:ascii="Arial" w:hAnsi="Arial" w:cs="Arial"/>
          <w:bCs/>
          <w:iCs/>
          <w:color w:val="auto"/>
          <w:lang w:val="pt-BR"/>
        </w:rPr>
        <w:t xml:space="preserve"> deverão ser comunicados à autoridade nacional.</w:t>
      </w:r>
    </w:p>
    <w:p w14:paraId="50FFF84B">
      <w:pPr>
        <w:pStyle w:val="19"/>
        <w:widowControl/>
        <w:tabs>
          <w:tab w:val="left" w:pos="426"/>
        </w:tabs>
        <w:autoSpaceDE/>
        <w:autoSpaceDN/>
        <w:spacing w:before="120" w:after="120" w:line="276" w:lineRule="auto"/>
        <w:ind w:left="0"/>
        <w:jc w:val="both"/>
        <w:rPr>
          <w:rFonts w:ascii="Arial" w:hAnsi="Arial" w:cs="Arial"/>
          <w:bCs/>
          <w:iCs/>
          <w:lang w:val="pt-BR"/>
        </w:rPr>
      </w:pPr>
    </w:p>
    <w:p w14:paraId="1CEE424F">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14:paraId="3BC1B20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0FBD7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1BDA3071">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DDBA83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14:paraId="7D53FDF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3935151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592F271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54B7C6D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310F422C">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06AC0C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325E46D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6384680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1694BB3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6269CA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6" w:name="_Hlk114504069"/>
      <w:r>
        <w:rPr>
          <w:rStyle w:val="9"/>
          <w:rFonts w:ascii="Arial" w:hAnsi="Arial" w:eastAsia="Arial" w:cs="Arial"/>
        </w:rPr>
        <w:t>Lei nº 14.133, de 2021</w:t>
      </w:r>
      <w:bookmarkEnd w:id="16"/>
      <w:r>
        <w:rPr>
          <w:rStyle w:val="9"/>
          <w:rFonts w:ascii="Arial" w:hAnsi="Arial" w:eastAsia="Arial" w:cs="Arial"/>
        </w:rPr>
        <w:fldChar w:fldCharType="end"/>
      </w:r>
      <w:r>
        <w:rPr>
          <w:rFonts w:ascii="Arial" w:hAnsi="Arial" w:eastAsia="Arial" w:cs="Arial"/>
        </w:rPr>
        <w:t>);</w:t>
      </w:r>
    </w:p>
    <w:p w14:paraId="0550C25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5AD86612">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1810DB7C">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4CF0A0C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2D2B92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37BFC838">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1121EED3">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3443DDF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3D6EBC0F">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447C9E9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2EAA8D4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6989EF2B">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14:paraId="34079BD8">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14:paraId="3CB7C0E8">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14:paraId="3389D468">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14:paraId="1C8A45C3">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14:paraId="12759421">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14:paraId="557F677B">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14:paraId="7C9FD15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4231EBB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37C3771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2AB1D10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6184D095">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6D08B2BC">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14:paraId="42BB6B63">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14:paraId="24473C9D">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14:paraId="13C4F37E">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14:paraId="0B314AF5">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14:paraId="19C447FD">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32289706">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14:paraId="798922FF">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14:paraId="31887EE9">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14:paraId="09EA60E5">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14:paraId="250F205A">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14:paraId="3511FB8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14:paraId="6ED608D8">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14:paraId="1C378EB2">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14:paraId="2D2DE205">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14:paraId="56924C00">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14:paraId="55183B85">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14:paraId="75190D71">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14:paraId="0DE0D20F">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14:paraId="149CFA9E">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14:paraId="43834047">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10549D9">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14:paraId="4C96765F">
      <w:pPr>
        <w:pStyle w:val="19"/>
        <w:spacing w:after="240" w:line="360" w:lineRule="auto"/>
        <w:ind w:left="0"/>
        <w:jc w:val="both"/>
        <w:rPr>
          <w:sz w:val="22"/>
          <w:szCs w:val="22"/>
        </w:rPr>
      </w:pPr>
      <w:r>
        <w:rPr>
          <w:rFonts w:hint="default" w:ascii="Arial" w:hAnsi="Arial" w:eastAsia="Arial" w:cs="Arial"/>
          <w:lang w:val="pt-BR"/>
        </w:rPr>
        <w:t xml:space="preserve">14.1  </w:t>
      </w:r>
      <w:r>
        <w:rPr>
          <w:rFonts w:ascii="Arial" w:hAnsi="Arial" w:eastAsia="Arial" w:cs="Arial"/>
        </w:rPr>
        <w:t xml:space="preserve"> As despesas decorrentes da presente contratação correrão à conta de recursos específicos consignados no Orçamento do Município, na forma abaixo:</w:t>
      </w:r>
    </w:p>
    <w:tbl>
      <w:tblPr>
        <w:tblStyle w:val="17"/>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3" w:type="dxa"/>
          <w:bottom w:w="0" w:type="dxa"/>
          <w:right w:w="108" w:type="dxa"/>
        </w:tblCellMar>
      </w:tblPr>
      <w:tblGrid>
        <w:gridCol w:w="2350"/>
        <w:gridCol w:w="3152"/>
        <w:gridCol w:w="1848"/>
        <w:gridCol w:w="1601"/>
      </w:tblGrid>
      <w:tr w14:paraId="6DE9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49" w:type="dxa"/>
            <w:vAlign w:val="center"/>
          </w:tcPr>
          <w:p w14:paraId="3EC7D7D9">
            <w:pPr>
              <w:pStyle w:val="19"/>
              <w:spacing w:after="240" w:line="360" w:lineRule="auto"/>
              <w:ind w:left="0"/>
              <w:jc w:val="center"/>
              <w:rPr>
                <w:rFonts w:ascii="Arial" w:hAnsi="Arial" w:eastAsia="Arial" w:cs="Arial"/>
              </w:rPr>
            </w:pPr>
            <w:r>
              <w:rPr>
                <w:rFonts w:ascii="Arial" w:hAnsi="Arial" w:eastAsia="Arial" w:cs="Arial"/>
              </w:rPr>
              <w:t>Órgão/Unidade Orçamentária</w:t>
            </w:r>
          </w:p>
        </w:tc>
        <w:tc>
          <w:tcPr>
            <w:tcW w:w="3152" w:type="dxa"/>
            <w:vAlign w:val="center"/>
          </w:tcPr>
          <w:p w14:paraId="70CBFE68">
            <w:pPr>
              <w:pStyle w:val="19"/>
              <w:spacing w:after="240" w:line="360" w:lineRule="auto"/>
              <w:ind w:left="0"/>
              <w:jc w:val="center"/>
              <w:rPr>
                <w:rFonts w:ascii="Arial" w:hAnsi="Arial" w:eastAsia="Arial" w:cs="Arial"/>
              </w:rPr>
            </w:pPr>
            <w:r>
              <w:rPr>
                <w:rFonts w:ascii="Arial" w:hAnsi="Arial" w:eastAsia="Arial" w:cs="Arial"/>
              </w:rPr>
              <w:t>Programa de Trabalho</w:t>
            </w:r>
          </w:p>
        </w:tc>
        <w:tc>
          <w:tcPr>
            <w:tcW w:w="1848" w:type="dxa"/>
            <w:vAlign w:val="center"/>
          </w:tcPr>
          <w:p w14:paraId="757BCFF0">
            <w:pPr>
              <w:pStyle w:val="19"/>
              <w:spacing w:after="240" w:line="360" w:lineRule="auto"/>
              <w:ind w:left="0"/>
              <w:jc w:val="center"/>
              <w:rPr>
                <w:rFonts w:ascii="Arial" w:hAnsi="Arial" w:eastAsia="Arial" w:cs="Arial"/>
              </w:rPr>
            </w:pPr>
            <w:r>
              <w:rPr>
                <w:rFonts w:ascii="Arial" w:hAnsi="Arial" w:eastAsia="Arial" w:cs="Arial"/>
              </w:rPr>
              <w:t>Fonte de Recursos</w:t>
            </w:r>
          </w:p>
        </w:tc>
        <w:tc>
          <w:tcPr>
            <w:tcW w:w="1601" w:type="dxa"/>
            <w:vAlign w:val="center"/>
          </w:tcPr>
          <w:p w14:paraId="23C9A47D">
            <w:pPr>
              <w:pStyle w:val="19"/>
              <w:spacing w:after="240" w:line="360" w:lineRule="auto"/>
              <w:ind w:left="0"/>
              <w:jc w:val="center"/>
              <w:rPr>
                <w:rFonts w:ascii="Arial" w:hAnsi="Arial" w:eastAsia="Arial" w:cs="Arial"/>
              </w:rPr>
            </w:pPr>
            <w:r>
              <w:rPr>
                <w:rFonts w:ascii="Arial" w:hAnsi="Arial" w:eastAsia="Arial" w:cs="Arial"/>
              </w:rPr>
              <w:t>Natureza da Despesa</w:t>
            </w:r>
          </w:p>
        </w:tc>
      </w:tr>
      <w:tr w14:paraId="55C5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3" w:type="dxa"/>
            <w:bottom w:w="0" w:type="dxa"/>
            <w:right w:w="108" w:type="dxa"/>
          </w:tblCellMar>
        </w:tblPrEx>
        <w:trPr>
          <w:jc w:val="center"/>
        </w:trPr>
        <w:tc>
          <w:tcPr>
            <w:tcW w:w="2349" w:type="dxa"/>
            <w:vAlign w:val="center"/>
          </w:tcPr>
          <w:p w14:paraId="2D795172">
            <w:pPr>
              <w:pStyle w:val="19"/>
              <w:spacing w:after="240" w:line="360" w:lineRule="auto"/>
              <w:ind w:left="0"/>
              <w:jc w:val="center"/>
              <w:rPr>
                <w:rFonts w:ascii="Arial" w:hAnsi="Arial" w:eastAsia="Arial" w:cs="Arial"/>
              </w:rPr>
            </w:pPr>
            <w:r>
              <w:rPr>
                <w:rFonts w:ascii="Arial" w:hAnsi="Arial" w:eastAsia="Arial" w:cs="Arial"/>
              </w:rPr>
              <w:t>Secretaria de Turismo</w:t>
            </w:r>
          </w:p>
        </w:tc>
        <w:tc>
          <w:tcPr>
            <w:tcW w:w="3152" w:type="dxa"/>
            <w:vAlign w:val="center"/>
          </w:tcPr>
          <w:p w14:paraId="4172041A">
            <w:pPr>
              <w:pStyle w:val="19"/>
              <w:spacing w:after="240" w:line="360" w:lineRule="auto"/>
              <w:ind w:left="0"/>
              <w:jc w:val="center"/>
              <w:rPr>
                <w:rFonts w:hint="default" w:ascii="Arial" w:hAnsi="Arial" w:eastAsia="Arial" w:cs="Arial"/>
                <w:lang w:val="pt-BR"/>
              </w:rPr>
            </w:pPr>
            <w:r>
              <w:rPr>
                <w:rFonts w:hint="default" w:ascii="Arial" w:hAnsi="Arial" w:eastAsia="Arial" w:cs="Arial"/>
                <w:lang w:val="pt-BR"/>
              </w:rPr>
              <w:t>10</w:t>
            </w:r>
            <w:r>
              <w:rPr>
                <w:rFonts w:ascii="Arial" w:hAnsi="Arial" w:eastAsia="Arial" w:cs="Arial"/>
              </w:rPr>
              <w:t>.00</w:t>
            </w:r>
            <w:r>
              <w:rPr>
                <w:rFonts w:hint="default" w:ascii="Arial" w:hAnsi="Arial" w:eastAsia="Arial" w:cs="Arial"/>
                <w:lang w:val="pt-BR"/>
              </w:rPr>
              <w:t>3</w:t>
            </w:r>
            <w:r>
              <w:rPr>
                <w:rFonts w:ascii="Arial" w:hAnsi="Arial" w:eastAsia="Arial" w:cs="Arial"/>
              </w:rPr>
              <w:t>.23.695.00</w:t>
            </w:r>
            <w:r>
              <w:rPr>
                <w:rFonts w:hint="default" w:ascii="Arial" w:hAnsi="Arial" w:eastAsia="Arial" w:cs="Arial"/>
                <w:lang w:val="pt-BR"/>
              </w:rPr>
              <w:t>09</w:t>
            </w:r>
            <w:r>
              <w:rPr>
                <w:rFonts w:ascii="Arial" w:hAnsi="Arial" w:eastAsia="Arial" w:cs="Arial"/>
              </w:rPr>
              <w:t>.2.</w:t>
            </w:r>
            <w:r>
              <w:rPr>
                <w:rFonts w:hint="default" w:ascii="Arial" w:hAnsi="Arial" w:eastAsia="Arial" w:cs="Arial"/>
                <w:lang w:val="pt-BR"/>
              </w:rPr>
              <w:t>123</w:t>
            </w:r>
          </w:p>
        </w:tc>
        <w:tc>
          <w:tcPr>
            <w:tcW w:w="1848" w:type="dxa"/>
            <w:vAlign w:val="center"/>
          </w:tcPr>
          <w:p w14:paraId="22E2989D">
            <w:pPr>
              <w:pStyle w:val="19"/>
              <w:spacing w:after="240" w:line="360" w:lineRule="auto"/>
              <w:ind w:left="0"/>
              <w:jc w:val="center"/>
              <w:rPr>
                <w:rFonts w:ascii="Arial" w:hAnsi="Arial" w:eastAsia="Arial" w:cs="Arial"/>
              </w:rPr>
            </w:pPr>
            <w:r>
              <w:rPr>
                <w:rFonts w:ascii="Arial" w:hAnsi="Arial" w:eastAsia="Arial" w:cs="Arial"/>
              </w:rPr>
              <w:t>1500</w:t>
            </w:r>
          </w:p>
        </w:tc>
        <w:tc>
          <w:tcPr>
            <w:tcW w:w="1601" w:type="dxa"/>
            <w:vAlign w:val="center"/>
          </w:tcPr>
          <w:p w14:paraId="71B23D5E">
            <w:pPr>
              <w:pStyle w:val="19"/>
              <w:spacing w:after="240" w:line="360" w:lineRule="auto"/>
              <w:ind w:left="0"/>
              <w:jc w:val="center"/>
              <w:rPr>
                <w:rFonts w:hint="default" w:ascii="Arial" w:hAnsi="Arial" w:eastAsia="Arial" w:cs="Arial"/>
                <w:lang w:val="pt-BR"/>
              </w:rPr>
            </w:pPr>
            <w:r>
              <w:rPr>
                <w:rFonts w:ascii="Arial" w:hAnsi="Arial" w:eastAsia="Arial" w:cs="Arial"/>
              </w:rPr>
              <w:t>3.3.90.39-</w:t>
            </w:r>
            <w:r>
              <w:rPr>
                <w:rFonts w:hint="default" w:ascii="Arial" w:hAnsi="Arial" w:eastAsia="Arial" w:cs="Arial"/>
                <w:lang w:val="pt-BR"/>
              </w:rPr>
              <w:t>22</w:t>
            </w:r>
          </w:p>
        </w:tc>
      </w:tr>
      <w:tr w14:paraId="336B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3" w:type="dxa"/>
            <w:bottom w:w="0" w:type="dxa"/>
            <w:right w:w="108" w:type="dxa"/>
          </w:tblCellMar>
        </w:tblPrEx>
        <w:trPr>
          <w:jc w:val="center"/>
        </w:trPr>
        <w:tc>
          <w:tcPr>
            <w:tcW w:w="2349" w:type="dxa"/>
            <w:tcBorders>
              <w:top w:val="nil"/>
            </w:tcBorders>
            <w:vAlign w:val="center"/>
          </w:tcPr>
          <w:p w14:paraId="0D924F6C">
            <w:pPr>
              <w:pStyle w:val="19"/>
              <w:spacing w:after="240" w:line="360" w:lineRule="auto"/>
              <w:ind w:left="0"/>
              <w:jc w:val="center"/>
              <w:rPr>
                <w:rFonts w:ascii="Arial" w:hAnsi="Arial" w:eastAsia="Arial" w:cs="Arial"/>
              </w:rPr>
            </w:pPr>
            <w:r>
              <w:rPr>
                <w:rFonts w:ascii="Arial" w:hAnsi="Arial" w:eastAsia="Arial" w:cs="Arial"/>
              </w:rPr>
              <w:t>Secretaria de Cultura</w:t>
            </w:r>
          </w:p>
        </w:tc>
        <w:tc>
          <w:tcPr>
            <w:tcW w:w="3152" w:type="dxa"/>
            <w:tcBorders>
              <w:top w:val="nil"/>
            </w:tcBorders>
            <w:vAlign w:val="center"/>
          </w:tcPr>
          <w:p w14:paraId="24B4C8BB">
            <w:pPr>
              <w:pStyle w:val="19"/>
              <w:spacing w:after="240" w:line="360" w:lineRule="auto"/>
              <w:ind w:left="0"/>
              <w:jc w:val="center"/>
              <w:rPr>
                <w:rFonts w:ascii="Arial" w:hAnsi="Arial" w:eastAsia="Arial" w:cs="Arial"/>
              </w:rPr>
            </w:pPr>
            <w:r>
              <w:rPr>
                <w:rFonts w:hint="default" w:ascii="Arial" w:hAnsi="Arial" w:eastAsia="Arial" w:cs="Arial"/>
              </w:rPr>
              <w:t>09.002.13.392.0009.2.128</w:t>
            </w:r>
          </w:p>
        </w:tc>
        <w:tc>
          <w:tcPr>
            <w:tcW w:w="1848" w:type="dxa"/>
            <w:tcBorders>
              <w:top w:val="nil"/>
            </w:tcBorders>
            <w:vAlign w:val="center"/>
          </w:tcPr>
          <w:p w14:paraId="5986D765">
            <w:pPr>
              <w:pStyle w:val="19"/>
              <w:spacing w:after="240" w:line="360" w:lineRule="auto"/>
              <w:ind w:left="0"/>
              <w:jc w:val="center"/>
              <w:rPr>
                <w:rFonts w:ascii="Arial" w:hAnsi="Arial" w:eastAsia="Arial" w:cs="Arial"/>
              </w:rPr>
            </w:pPr>
            <w:r>
              <w:rPr>
                <w:rFonts w:ascii="Arial" w:hAnsi="Arial" w:eastAsia="Arial" w:cs="Arial"/>
              </w:rPr>
              <w:t>1500</w:t>
            </w:r>
          </w:p>
        </w:tc>
        <w:tc>
          <w:tcPr>
            <w:tcW w:w="1601" w:type="dxa"/>
            <w:tcBorders>
              <w:top w:val="nil"/>
            </w:tcBorders>
            <w:vAlign w:val="center"/>
          </w:tcPr>
          <w:p w14:paraId="2E100202">
            <w:pPr>
              <w:pStyle w:val="19"/>
              <w:spacing w:after="240" w:line="360" w:lineRule="auto"/>
              <w:ind w:left="0"/>
              <w:jc w:val="center"/>
              <w:rPr>
                <w:rFonts w:hint="default" w:ascii="Arial" w:hAnsi="Arial" w:eastAsia="Arial" w:cs="Arial"/>
                <w:lang w:val="pt-BR"/>
              </w:rPr>
            </w:pPr>
            <w:r>
              <w:rPr>
                <w:rFonts w:ascii="Arial" w:hAnsi="Arial" w:eastAsia="Arial" w:cs="Arial"/>
              </w:rPr>
              <w:t>3.3.90.39-</w:t>
            </w:r>
            <w:r>
              <w:rPr>
                <w:rFonts w:hint="default" w:ascii="Arial" w:hAnsi="Arial" w:eastAsia="Arial" w:cs="Arial"/>
                <w:lang w:val="pt-BR"/>
              </w:rPr>
              <w:t>22</w:t>
            </w:r>
          </w:p>
        </w:tc>
      </w:tr>
      <w:tr w14:paraId="2795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3" w:type="dxa"/>
            <w:bottom w:w="0" w:type="dxa"/>
            <w:right w:w="108" w:type="dxa"/>
          </w:tblCellMar>
        </w:tblPrEx>
        <w:trPr>
          <w:jc w:val="center"/>
        </w:trPr>
        <w:tc>
          <w:tcPr>
            <w:tcW w:w="2349" w:type="dxa"/>
            <w:tcBorders>
              <w:top w:val="nil"/>
            </w:tcBorders>
            <w:vAlign w:val="center"/>
          </w:tcPr>
          <w:p w14:paraId="1F1CC72F">
            <w:pPr>
              <w:pStyle w:val="19"/>
              <w:spacing w:after="240" w:line="360" w:lineRule="auto"/>
              <w:ind w:left="0"/>
              <w:jc w:val="center"/>
              <w:rPr>
                <w:rFonts w:ascii="Arial" w:hAnsi="Arial" w:eastAsia="Arial" w:cs="Arial"/>
              </w:rPr>
            </w:pPr>
            <w:r>
              <w:rPr>
                <w:rFonts w:ascii="Arial" w:hAnsi="Arial" w:eastAsia="Arial" w:cs="Arial"/>
              </w:rPr>
              <w:t>Secretaria de Esporte</w:t>
            </w:r>
            <w:r>
              <w:rPr>
                <w:rFonts w:hint="default" w:ascii="Arial" w:hAnsi="Arial" w:eastAsia="Arial" w:cs="Arial"/>
                <w:lang w:val="pt-BR"/>
              </w:rPr>
              <w:t>s</w:t>
            </w:r>
            <w:r>
              <w:rPr>
                <w:rFonts w:ascii="Arial" w:hAnsi="Arial" w:eastAsia="Arial" w:cs="Arial"/>
              </w:rPr>
              <w:t xml:space="preserve"> e Lazer</w:t>
            </w:r>
          </w:p>
        </w:tc>
        <w:tc>
          <w:tcPr>
            <w:tcW w:w="3152" w:type="dxa"/>
            <w:tcBorders>
              <w:top w:val="nil"/>
            </w:tcBorders>
            <w:vAlign w:val="center"/>
          </w:tcPr>
          <w:p w14:paraId="0EE41C9A">
            <w:pPr>
              <w:pStyle w:val="19"/>
              <w:spacing w:after="240" w:line="360" w:lineRule="auto"/>
              <w:ind w:left="0"/>
              <w:jc w:val="center"/>
              <w:rPr>
                <w:rFonts w:ascii="Arial" w:hAnsi="Arial" w:eastAsia="Arial" w:cs="Arial"/>
              </w:rPr>
            </w:pPr>
            <w:r>
              <w:rPr>
                <w:rFonts w:hint="default" w:ascii="Arial" w:hAnsi="Arial" w:eastAsia="Arial" w:cs="Arial"/>
              </w:rPr>
              <w:t>11.002.27.812.0009.2.029</w:t>
            </w:r>
          </w:p>
        </w:tc>
        <w:tc>
          <w:tcPr>
            <w:tcW w:w="1848" w:type="dxa"/>
            <w:tcBorders>
              <w:top w:val="nil"/>
            </w:tcBorders>
            <w:vAlign w:val="center"/>
          </w:tcPr>
          <w:p w14:paraId="03FBF661">
            <w:pPr>
              <w:pStyle w:val="19"/>
              <w:spacing w:after="240" w:line="360" w:lineRule="auto"/>
              <w:ind w:left="0"/>
              <w:jc w:val="center"/>
              <w:rPr>
                <w:rFonts w:hint="default" w:ascii="Arial" w:hAnsi="Arial" w:eastAsia="Arial" w:cs="Arial"/>
                <w:lang w:val="pt-BR"/>
              </w:rPr>
            </w:pPr>
            <w:r>
              <w:rPr>
                <w:rFonts w:hint="default" w:ascii="Arial" w:hAnsi="Arial" w:eastAsia="Arial" w:cs="Arial"/>
                <w:lang w:val="pt-BR"/>
              </w:rPr>
              <w:t>170500000020</w:t>
            </w:r>
          </w:p>
        </w:tc>
        <w:tc>
          <w:tcPr>
            <w:tcW w:w="1601" w:type="dxa"/>
            <w:tcBorders>
              <w:top w:val="nil"/>
            </w:tcBorders>
            <w:vAlign w:val="center"/>
          </w:tcPr>
          <w:p w14:paraId="2526BB6A">
            <w:pPr>
              <w:pStyle w:val="19"/>
              <w:spacing w:after="240" w:line="360" w:lineRule="auto"/>
              <w:ind w:left="0"/>
              <w:jc w:val="center"/>
              <w:rPr>
                <w:rFonts w:hint="default" w:ascii="Arial" w:hAnsi="Arial" w:eastAsia="Arial" w:cs="Arial"/>
                <w:lang w:val="pt-BR"/>
              </w:rPr>
            </w:pPr>
            <w:r>
              <w:rPr>
                <w:rFonts w:ascii="Arial" w:hAnsi="Arial" w:eastAsia="Arial" w:cs="Arial"/>
              </w:rPr>
              <w:t>3.3.90.39-</w:t>
            </w:r>
            <w:r>
              <w:rPr>
                <w:rFonts w:hint="default" w:ascii="Arial" w:hAnsi="Arial" w:eastAsia="Arial" w:cs="Arial"/>
                <w:lang w:val="pt-BR"/>
              </w:rPr>
              <w:t>22</w:t>
            </w:r>
          </w:p>
        </w:tc>
      </w:tr>
    </w:tbl>
    <w:p w14:paraId="60D93FDA">
      <w:pPr>
        <w:pStyle w:val="19"/>
        <w:numPr>
          <w:ilvl w:val="0"/>
          <w:numId w:val="0"/>
        </w:numPr>
        <w:tabs>
          <w:tab w:val="left" w:pos="426"/>
        </w:tabs>
        <w:ind w:leftChars="0"/>
        <w:jc w:val="both"/>
        <w:rPr>
          <w:rFonts w:ascii="Arial" w:hAnsi="Arial" w:eastAsia="Arial" w:cs="Arial"/>
        </w:rPr>
      </w:pPr>
      <w:r>
        <w:rPr>
          <w:rFonts w:hint="default" w:ascii="Arial" w:hAnsi="Arial" w:eastAsia="Arial" w:cs="Arial"/>
          <w:lang w:val="pt-BR"/>
        </w:rPr>
        <w:t>14.2</w:t>
      </w:r>
      <w:r>
        <w:rPr>
          <w:rFonts w:ascii="Arial" w:hAnsi="Arial" w:eastAsia="Arial" w:cs="Arial"/>
        </w:rPr>
        <w:t xml:space="preserve"> A dotação relativa aos exercícios financeiros subsequentes será indicada após aprovação da Lei Orçamentária respectiva e liberação dos créditos correspondentes, mediante apostilamentos.</w:t>
      </w:r>
    </w:p>
    <w:p w14:paraId="5915E85A">
      <w:pPr>
        <w:pStyle w:val="34"/>
        <w:numPr>
          <w:ilvl w:val="0"/>
          <w:numId w:val="0"/>
        </w:numPr>
        <w:tabs>
          <w:tab w:val="left" w:pos="284"/>
          <w:tab w:val="left" w:pos="993"/>
        </w:tabs>
        <w:spacing w:line="276" w:lineRule="auto"/>
        <w:ind w:leftChars="0"/>
        <w:rPr>
          <w:rFonts w:hint="default"/>
          <w:lang w:val="pt-BR"/>
        </w:rPr>
      </w:pPr>
    </w:p>
    <w:p w14:paraId="63EF0909">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14:paraId="244AFBEE">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14:paraId="1BCB85FF">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14:paraId="33B1E59E">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FC71732">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14:paraId="2AEA0AD1">
      <w:pPr>
        <w:pStyle w:val="19"/>
        <w:widowControl/>
        <w:tabs>
          <w:tab w:val="left" w:pos="426"/>
        </w:tabs>
        <w:autoSpaceDE/>
        <w:autoSpaceDN/>
        <w:spacing w:before="120" w:after="120" w:line="276" w:lineRule="auto"/>
        <w:ind w:left="0"/>
        <w:jc w:val="both"/>
      </w:pPr>
      <w:r>
        <w:rPr>
          <w:rFonts w:ascii="Arial" w:hAnsi="Arial" w:cs="Arial"/>
        </w:rPr>
        <w:t xml:space="preserve"> </w:t>
      </w:r>
    </w:p>
    <w:p w14:paraId="6A0CD1F3">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4D73E0D5">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14:paraId="6425C215">
      <w:pPr>
        <w:pStyle w:val="19"/>
        <w:tabs>
          <w:tab w:val="left" w:pos="426"/>
        </w:tabs>
        <w:ind w:left="0"/>
        <w:jc w:val="both"/>
      </w:pPr>
    </w:p>
    <w:p w14:paraId="7153D8BA">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27F05AD">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21E01888">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14:paraId="6846E49D">
      <w:pPr>
        <w:pStyle w:val="19"/>
        <w:tabs>
          <w:tab w:val="left" w:pos="426"/>
        </w:tabs>
        <w:ind w:left="0"/>
        <w:jc w:val="both"/>
        <w:rPr>
          <w:rFonts w:ascii="Arial" w:hAnsi="Arial" w:cs="Arial"/>
        </w:rPr>
      </w:pPr>
    </w:p>
    <w:p w14:paraId="42F2BC4B">
      <w:pPr>
        <w:pStyle w:val="19"/>
        <w:tabs>
          <w:tab w:val="left" w:pos="426"/>
        </w:tabs>
        <w:ind w:left="0"/>
        <w:jc w:val="both"/>
        <w:rPr>
          <w:rFonts w:ascii="Arial" w:hAnsi="Arial" w:cs="Arial"/>
        </w:rPr>
      </w:pPr>
    </w:p>
    <w:p w14:paraId="32C40313">
      <w:pPr>
        <w:pStyle w:val="19"/>
        <w:tabs>
          <w:tab w:val="left" w:pos="426"/>
        </w:tabs>
        <w:ind w:left="0"/>
        <w:jc w:val="both"/>
        <w:rPr>
          <w:rFonts w:ascii="Arial" w:hAnsi="Arial" w:cs="Arial"/>
        </w:rPr>
      </w:pPr>
    </w:p>
    <w:p w14:paraId="1A909905">
      <w:pPr>
        <w:spacing w:after="120" w:line="360" w:lineRule="auto"/>
        <w:ind w:right="-15"/>
        <w:jc w:val="right"/>
        <w:rPr>
          <w:rFonts w:ascii="Arial" w:hAnsi="Arial" w:cs="Arial"/>
          <w:bCs/>
        </w:rPr>
      </w:pPr>
      <w:r>
        <w:rPr>
          <w:rFonts w:ascii="Arial" w:hAnsi="Arial" w:cs="Arial"/>
        </w:rPr>
        <w:t>...........................................,  .......... de.......................................... de 2026.</w:t>
      </w:r>
    </w:p>
    <w:p w14:paraId="0A641955">
      <w:pPr>
        <w:spacing w:after="120"/>
        <w:jc w:val="center"/>
        <w:rPr>
          <w:rFonts w:ascii="Arial" w:hAnsi="Arial" w:cs="Arial"/>
          <w:bCs/>
        </w:rPr>
      </w:pPr>
    </w:p>
    <w:p w14:paraId="0EFB29BF">
      <w:pPr>
        <w:spacing w:after="120"/>
        <w:jc w:val="center"/>
        <w:rPr>
          <w:rFonts w:ascii="Arial" w:hAnsi="Arial" w:cs="Arial"/>
          <w:bCs/>
        </w:rPr>
      </w:pPr>
    </w:p>
    <w:p w14:paraId="672F4547">
      <w:pPr>
        <w:spacing w:after="120"/>
        <w:jc w:val="center"/>
        <w:rPr>
          <w:rFonts w:ascii="Arial" w:hAnsi="Arial" w:cs="Arial"/>
          <w:bCs/>
        </w:rPr>
      </w:pPr>
      <w:r>
        <w:rPr>
          <w:rFonts w:ascii="Arial" w:hAnsi="Arial" w:cs="Arial"/>
          <w:bCs/>
        </w:rPr>
        <w:t>_________________________</w:t>
      </w:r>
    </w:p>
    <w:p w14:paraId="6C5E5E19">
      <w:pPr>
        <w:spacing w:after="120"/>
        <w:jc w:val="center"/>
        <w:rPr>
          <w:rFonts w:ascii="Arial" w:hAnsi="Arial" w:cs="Arial"/>
          <w:bCs/>
        </w:rPr>
      </w:pPr>
      <w:r>
        <w:rPr>
          <w:rFonts w:ascii="Arial" w:hAnsi="Arial" w:cs="Arial"/>
          <w:bCs/>
        </w:rPr>
        <w:t>Responsável legal da CONTRATANTE</w:t>
      </w:r>
    </w:p>
    <w:p w14:paraId="4A4E3314">
      <w:pPr>
        <w:spacing w:after="120"/>
        <w:jc w:val="center"/>
        <w:rPr>
          <w:rFonts w:ascii="Arial" w:hAnsi="Arial" w:cs="Arial"/>
        </w:rPr>
      </w:pPr>
    </w:p>
    <w:p w14:paraId="45F727AD">
      <w:pPr>
        <w:spacing w:after="120"/>
        <w:jc w:val="center"/>
        <w:rPr>
          <w:rFonts w:ascii="Arial" w:hAnsi="Arial" w:cs="Arial"/>
        </w:rPr>
      </w:pPr>
      <w:r>
        <w:rPr>
          <w:rFonts w:ascii="Arial" w:hAnsi="Arial" w:cs="Arial"/>
        </w:rPr>
        <w:t>_________________________</w:t>
      </w:r>
    </w:p>
    <w:p w14:paraId="2EA329C4">
      <w:pPr>
        <w:spacing w:after="120"/>
        <w:jc w:val="center"/>
        <w:rPr>
          <w:rFonts w:ascii="Arial" w:hAnsi="Arial" w:cs="Arial"/>
        </w:rPr>
      </w:pPr>
      <w:r>
        <w:rPr>
          <w:rFonts w:ascii="Arial" w:hAnsi="Arial" w:cs="Arial"/>
        </w:rPr>
        <w:t>Responsável legal da CONTRATADA</w:t>
      </w:r>
    </w:p>
    <w:p w14:paraId="14D5CADA">
      <w:pPr>
        <w:spacing w:after="120"/>
        <w:jc w:val="both"/>
        <w:rPr>
          <w:rFonts w:ascii="Arial" w:hAnsi="Arial" w:cs="Arial"/>
        </w:rPr>
      </w:pPr>
      <w:r>
        <w:rPr>
          <w:rFonts w:ascii="Arial" w:hAnsi="Arial" w:cs="Arial"/>
        </w:rPr>
        <w:t>TESTEMUNHAS:</w:t>
      </w:r>
    </w:p>
    <w:p w14:paraId="654B18BB">
      <w:pPr>
        <w:spacing w:after="120"/>
        <w:jc w:val="both"/>
        <w:rPr>
          <w:rFonts w:ascii="Arial" w:hAnsi="Arial" w:cs="Arial"/>
        </w:rPr>
      </w:pPr>
      <w:r>
        <w:rPr>
          <w:rFonts w:ascii="Arial" w:hAnsi="Arial" w:cs="Arial"/>
        </w:rPr>
        <w:t>1-</w:t>
      </w:r>
    </w:p>
    <w:p w14:paraId="499197FF">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45CCB">
    <w:pPr>
      <w:pStyle w:val="15"/>
      <w:jc w:val="center"/>
      <w:rPr>
        <w:rFonts w:ascii="Azo Sans Md" w:hAnsi="Azo Sans Md"/>
        <w:b/>
        <w:bCs/>
        <w:color w:val="000000"/>
        <w:sz w:val="18"/>
        <w:szCs w:val="18"/>
      </w:rPr>
    </w:pPr>
  </w:p>
  <w:p w14:paraId="426E55D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0C926730">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14:paraId="603A09F3">
    <w:pPr>
      <w:pStyle w:val="15"/>
      <w:jc w:val="center"/>
      <w:rPr>
        <w:rFonts w:ascii="Arial" w:hAnsi="Arial" w:cs="Arial"/>
        <w:color w:val="000000"/>
        <w:sz w:val="18"/>
        <w:szCs w:val="18"/>
      </w:rPr>
    </w:pPr>
    <w:r>
      <w:rPr>
        <w:rFonts w:ascii="Arial" w:hAnsi="Arial" w:cs="Arial"/>
        <w:color w:val="000000"/>
        <w:sz w:val="18"/>
        <w:szCs w:val="18"/>
      </w:rPr>
      <w:t>(22) 2525-9101</w:t>
    </w:r>
  </w:p>
  <w:p w14:paraId="79F181E8">
    <w:pPr>
      <w:pStyle w:val="15"/>
      <w:jc w:val="center"/>
      <w:rPr>
        <w:rFonts w:ascii="Arial" w:hAnsi="Arial" w:cs="Arial"/>
        <w:color w:val="000000"/>
        <w:sz w:val="18"/>
        <w:szCs w:val="18"/>
      </w:rPr>
    </w:pPr>
  </w:p>
  <w:p w14:paraId="54E157EE">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E93D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FEB69">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76124">
    <w:pPr>
      <w:pStyle w:val="14"/>
      <w:ind w:left="142"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3447415" cy="112585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rcRect r="39731" b="2422"/>
                  <a:stretch>
                    <a:fillRect/>
                  </a:stretch>
                </pic:blipFill>
                <pic:spPr>
                  <a:xfrm>
                    <a:off x="0" y="0"/>
                    <a:ext cx="3447415" cy="1125855"/>
                  </a:xfrm>
                  <a:prstGeom prst="rect">
                    <a:avLst/>
                  </a:prstGeom>
                </pic:spPr>
              </pic:pic>
            </a:graphicData>
          </a:graphic>
        </wp:inline>
      </w:drawing>
    </w:r>
  </w:p>
  <w:p w14:paraId="339F5034">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727F01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23F3A">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0EF6C">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26D4D0F"/>
    <w:rsid w:val="04EA0771"/>
    <w:rsid w:val="099B2883"/>
    <w:rsid w:val="09A23409"/>
    <w:rsid w:val="0A870AE8"/>
    <w:rsid w:val="10693B57"/>
    <w:rsid w:val="11CC2ACE"/>
    <w:rsid w:val="1219021C"/>
    <w:rsid w:val="12EE4AC3"/>
    <w:rsid w:val="14842BCA"/>
    <w:rsid w:val="14991385"/>
    <w:rsid w:val="16CF35F9"/>
    <w:rsid w:val="1AD6269C"/>
    <w:rsid w:val="1AF72D93"/>
    <w:rsid w:val="1E874EF6"/>
    <w:rsid w:val="1F0F4DA6"/>
    <w:rsid w:val="1FD12E07"/>
    <w:rsid w:val="23A802C2"/>
    <w:rsid w:val="2AF85B02"/>
    <w:rsid w:val="2AFC5C77"/>
    <w:rsid w:val="32AE7335"/>
    <w:rsid w:val="3C4D19A5"/>
    <w:rsid w:val="3C5313B1"/>
    <w:rsid w:val="3C9967A2"/>
    <w:rsid w:val="3D053E78"/>
    <w:rsid w:val="3D361311"/>
    <w:rsid w:val="4BAA4A15"/>
    <w:rsid w:val="4CE71600"/>
    <w:rsid w:val="501F24D5"/>
    <w:rsid w:val="529C1BE7"/>
    <w:rsid w:val="56977AF1"/>
    <w:rsid w:val="5C237373"/>
    <w:rsid w:val="5D1F7494"/>
    <w:rsid w:val="5F7C0439"/>
    <w:rsid w:val="5FF03C94"/>
    <w:rsid w:val="623C6820"/>
    <w:rsid w:val="676973A5"/>
    <w:rsid w:val="68532C20"/>
    <w:rsid w:val="68B0074B"/>
    <w:rsid w:val="6F830B58"/>
    <w:rsid w:val="749B1192"/>
    <w:rsid w:val="77B2358A"/>
    <w:rsid w:val="781E33F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9"/>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17</Pages>
  <Words>6139</Words>
  <Characters>33156</Characters>
  <Lines>276</Lines>
  <Paragraphs>78</Paragraphs>
  <TotalTime>21</TotalTime>
  <ScaleCrop>false</ScaleCrop>
  <LinksUpToDate>false</LinksUpToDate>
  <CharactersWithSpaces>39217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karla.braga</cp:lastModifiedBy>
  <cp:lastPrinted>2023-08-22T17:19:00Z</cp:lastPrinted>
  <dcterms:modified xsi:type="dcterms:W3CDTF">2026-07-31T14:07:25Z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5BDC8CEBA3E94F8CA249749E2E807F87_12</vt:lpwstr>
  </property>
</Properties>
</file>